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proofErr w:type="gramStart"/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  <w:proofErr w:type="gramEnd"/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24529F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Hekimhan Mehmet Emin Sungur</w:t>
            </w:r>
            <w:r w:rsidR="008B5F83">
              <w:rPr>
                <w:bCs/>
              </w:rPr>
              <w:t xml:space="preserve"> Meslek Yüksekokulu</w:t>
            </w:r>
            <w:r w:rsidR="00786856">
              <w:rPr>
                <w:bCs/>
              </w:rPr>
              <w:t xml:space="preserve"> Kantin İ</w:t>
            </w:r>
            <w:r>
              <w:rPr>
                <w:bCs/>
              </w:rPr>
              <w:t>halesi</w:t>
            </w:r>
          </w:p>
        </w:tc>
        <w:tc>
          <w:tcPr>
            <w:tcW w:w="1651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694C7C">
            <w:pPr>
              <w:pStyle w:val="TableParagraph"/>
              <w:ind w:left="220"/>
            </w:pPr>
            <w:r>
              <w:t>18.000,00</w:t>
            </w:r>
            <w:r w:rsidR="00991537">
              <w:t xml:space="preserve"> </w:t>
            </w:r>
            <w:r w:rsidR="00F65002">
              <w:t>TL</w:t>
            </w:r>
          </w:p>
        </w:tc>
        <w:tc>
          <w:tcPr>
            <w:tcW w:w="156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694C7C">
            <w:pPr>
              <w:pStyle w:val="TableParagraph"/>
              <w:ind w:left="233"/>
            </w:pPr>
            <w:r>
              <w:t>5.400,00</w:t>
            </w:r>
            <w:r w:rsidR="009D29D0">
              <w:t xml:space="preserve"> </w:t>
            </w:r>
            <w:r w:rsidR="00F65002">
              <w:t>TL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24529F" w:rsidP="0084277B">
            <w:pPr>
              <w:pStyle w:val="TableParagraph"/>
              <w:ind w:left="142"/>
            </w:pPr>
            <w:proofErr w:type="gramStart"/>
            <w:r>
              <w:t>19</w:t>
            </w:r>
            <w:r w:rsidR="008B5F83">
              <w:t>/12</w:t>
            </w:r>
            <w:r w:rsidR="00271E59">
              <w:t>/</w:t>
            </w:r>
            <w:r w:rsidR="00105C32">
              <w:t>202</w:t>
            </w:r>
            <w:r w:rsidR="00271E59">
              <w:t>4</w:t>
            </w:r>
            <w:proofErr w:type="gramEnd"/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DC4262" w:rsidP="00DC4262">
            <w:pPr>
              <w:pStyle w:val="TableParagraph"/>
              <w:ind w:left="174"/>
            </w:pPr>
            <w:proofErr w:type="gramStart"/>
            <w:r>
              <w:t>11</w:t>
            </w:r>
            <w:r w:rsidR="00F65002">
              <w:t>:00</w:t>
            </w:r>
            <w:proofErr w:type="gramEnd"/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F65002">
            <w:pPr>
              <w:pStyle w:val="TableParagraph"/>
              <w:ind w:right="117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</w:tc>
        <w:tc>
          <w:tcPr>
            <w:tcW w:w="1557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24529F" w:rsidP="00DE60A4">
            <w:pPr>
              <w:pStyle w:val="TableParagraph"/>
              <w:ind w:left="469"/>
            </w:pPr>
            <w:r>
              <w:t>82</w:t>
            </w:r>
            <w:r w:rsidR="00694C7C">
              <w:t>,</w:t>
            </w:r>
            <w:proofErr w:type="gramStart"/>
            <w:r w:rsidR="00694C7C">
              <w:t>00</w:t>
            </w:r>
            <w:r w:rsidR="009D0AAE">
              <w:t xml:space="preserve"> </w:t>
            </w:r>
            <w:r w:rsidR="00991537">
              <w:t xml:space="preserve"> </w:t>
            </w:r>
            <w:r w:rsidR="00F65002">
              <w:t>m</w:t>
            </w:r>
            <w:proofErr w:type="gramEnd"/>
            <w:r w:rsidR="00F65002">
              <w:t>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15" w:rsidRDefault="00350615" w:rsidP="00F86CF4">
      <w:r>
        <w:separator/>
      </w:r>
    </w:p>
  </w:endnote>
  <w:endnote w:type="continuationSeparator" w:id="0">
    <w:p w:rsidR="00350615" w:rsidRDefault="00350615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15" w:rsidRDefault="00350615" w:rsidP="00F86CF4">
      <w:r>
        <w:separator/>
      </w:r>
    </w:p>
  </w:footnote>
  <w:footnote w:type="continuationSeparator" w:id="0">
    <w:p w:rsidR="00350615" w:rsidRDefault="00350615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3D508C">
    <w:pPr>
      <w:pStyle w:val="GvdeMetni"/>
      <w:spacing w:line="14" w:lineRule="auto"/>
      <w:ind w:left="0"/>
      <w:jc w:val="left"/>
      <w:rPr>
        <w:sz w:val="20"/>
      </w:rPr>
    </w:pPr>
    <w:r w:rsidRPr="003D5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24529F">
                  <w:rPr>
                    <w:rFonts w:ascii="Calibri" w:hAnsi="Calibri"/>
                  </w:rPr>
                  <w:t>02</w:t>
                </w:r>
                <w:r w:rsidR="00271E59">
                  <w:rPr>
                    <w:rFonts w:ascii="Calibri" w:hAnsi="Calibri"/>
                  </w:rPr>
                  <w:t>/</w:t>
                </w:r>
                <w:r w:rsidR="0024529F">
                  <w:rPr>
                    <w:rFonts w:ascii="Calibri" w:hAnsi="Calibri"/>
                  </w:rPr>
                  <w:t>12</w:t>
                </w:r>
                <w:r w:rsidR="00271E59">
                  <w:rPr>
                    <w:rFonts w:ascii="Calibri" w:hAnsi="Calibri"/>
                  </w:rPr>
                  <w:t>/2024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B040C"/>
    <w:rsid w:val="000F7A3D"/>
    <w:rsid w:val="00105C32"/>
    <w:rsid w:val="00106137"/>
    <w:rsid w:val="00174F4C"/>
    <w:rsid w:val="001763E3"/>
    <w:rsid w:val="001A7364"/>
    <w:rsid w:val="0024529F"/>
    <w:rsid w:val="00262F18"/>
    <w:rsid w:val="00271E59"/>
    <w:rsid w:val="00350615"/>
    <w:rsid w:val="00371048"/>
    <w:rsid w:val="003910FB"/>
    <w:rsid w:val="003D508C"/>
    <w:rsid w:val="00424F68"/>
    <w:rsid w:val="00487726"/>
    <w:rsid w:val="004B6CDA"/>
    <w:rsid w:val="004E1164"/>
    <w:rsid w:val="004F3D4B"/>
    <w:rsid w:val="0053320E"/>
    <w:rsid w:val="00564373"/>
    <w:rsid w:val="00586CE4"/>
    <w:rsid w:val="005C079D"/>
    <w:rsid w:val="005E71D6"/>
    <w:rsid w:val="00694C7C"/>
    <w:rsid w:val="006962FF"/>
    <w:rsid w:val="006D2828"/>
    <w:rsid w:val="006D7717"/>
    <w:rsid w:val="007142D3"/>
    <w:rsid w:val="007241DF"/>
    <w:rsid w:val="00786856"/>
    <w:rsid w:val="007A6113"/>
    <w:rsid w:val="007D5EAC"/>
    <w:rsid w:val="0084277B"/>
    <w:rsid w:val="008B5F83"/>
    <w:rsid w:val="008C0C28"/>
    <w:rsid w:val="008C4AF7"/>
    <w:rsid w:val="008E42A0"/>
    <w:rsid w:val="00946159"/>
    <w:rsid w:val="00960923"/>
    <w:rsid w:val="00991537"/>
    <w:rsid w:val="009B7F22"/>
    <w:rsid w:val="009D0AAE"/>
    <w:rsid w:val="009D29D0"/>
    <w:rsid w:val="00B22BC1"/>
    <w:rsid w:val="00B24F39"/>
    <w:rsid w:val="00B44952"/>
    <w:rsid w:val="00BF40E5"/>
    <w:rsid w:val="00C52481"/>
    <w:rsid w:val="00CD5B01"/>
    <w:rsid w:val="00CE613D"/>
    <w:rsid w:val="00D267D9"/>
    <w:rsid w:val="00D647C5"/>
    <w:rsid w:val="00D80BDC"/>
    <w:rsid w:val="00DC4262"/>
    <w:rsid w:val="00DE60A4"/>
    <w:rsid w:val="00DF3BEB"/>
    <w:rsid w:val="00DF6596"/>
    <w:rsid w:val="00E11B37"/>
    <w:rsid w:val="00E331D2"/>
    <w:rsid w:val="00E43F53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2</cp:revision>
  <cp:lastPrinted>2024-09-10T10:21:00Z</cp:lastPrinted>
  <dcterms:created xsi:type="dcterms:W3CDTF">2024-12-02T08:33:00Z</dcterms:created>
  <dcterms:modified xsi:type="dcterms:W3CDTF">2024-12-02T08:33:00Z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